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5ACF2AAB" w:rsidR="000A73E2" w:rsidRPr="00C02975" w:rsidRDefault="00C02975" w:rsidP="00C02975">
      <w:pPr>
        <w:jc w:val="right"/>
        <w:rPr>
          <w:rFonts w:ascii="Tahoma" w:hAnsi="Tahoma" w:cs="Tahoma"/>
          <w:b/>
          <w:bCs/>
        </w:rPr>
      </w:pPr>
      <w:r w:rsidRPr="72787B15">
        <w:rPr>
          <w:rFonts w:ascii="Tahoma" w:hAnsi="Tahoma" w:cs="Tahoma"/>
          <w:b/>
          <w:bCs/>
        </w:rPr>
        <w:t>Załącznik 1</w:t>
      </w:r>
      <w:r w:rsidR="00BF6D5D">
        <w:rPr>
          <w:rFonts w:ascii="Tahoma" w:hAnsi="Tahoma" w:cs="Tahoma"/>
          <w:b/>
          <w:bCs/>
        </w:rPr>
        <w:t>.1</w:t>
      </w:r>
      <w:r w:rsidR="00DE2D54">
        <w:rPr>
          <w:rFonts w:ascii="Tahoma" w:hAnsi="Tahoma" w:cs="Tahoma"/>
          <w:b/>
          <w:bCs/>
        </w:rPr>
        <w:t>4</w:t>
      </w:r>
    </w:p>
    <w:p w14:paraId="19B52394" w14:textId="2428DCCF" w:rsidR="00200170" w:rsidRPr="00C02975" w:rsidRDefault="00DE2D54" w:rsidP="000A73E2">
      <w:pPr>
        <w:rPr>
          <w:rFonts w:ascii="Tahoma" w:hAnsi="Tahoma" w:cs="Tahoma"/>
          <w:b/>
          <w:bCs/>
        </w:rPr>
      </w:pPr>
      <w:r w:rsidRPr="00DE2D54">
        <w:rPr>
          <w:rFonts w:ascii="Tahoma" w:hAnsi="Tahoma" w:cs="Tahoma"/>
          <w:b/>
          <w:bCs/>
        </w:rPr>
        <w:t>Acces Pointy Wi Fi spełniające standard WPA3 Enterprise</w:t>
      </w:r>
      <w:r>
        <w:rPr>
          <w:rFonts w:ascii="Tahoma" w:hAnsi="Tahoma" w:cs="Tahoma"/>
          <w:b/>
          <w:bCs/>
        </w:rPr>
        <w:t xml:space="preserve"> (3 szt.)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5"/>
        <w:gridCol w:w="2814"/>
        <w:gridCol w:w="6159"/>
      </w:tblGrid>
      <w:tr w:rsidR="00DE2D54" w:rsidRPr="00DE2D54" w14:paraId="45CD492A" w14:textId="77777777" w:rsidTr="00DE2D54">
        <w:tc>
          <w:tcPr>
            <w:tcW w:w="0" w:type="auto"/>
            <w:vAlign w:val="center"/>
            <w:hideMark/>
          </w:tcPr>
          <w:p w14:paraId="322BA5A0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  <w:b/>
                <w:bCs/>
              </w:rPr>
            </w:pPr>
            <w:r w:rsidRPr="00DE2D54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0" w:type="auto"/>
            <w:vAlign w:val="center"/>
            <w:hideMark/>
          </w:tcPr>
          <w:p w14:paraId="4F7DC14B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DE2D54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0" w:type="auto"/>
            <w:hideMark/>
          </w:tcPr>
          <w:p w14:paraId="266D2FBE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  <w:b/>
                <w:bCs/>
              </w:rPr>
            </w:pPr>
            <w:r w:rsidRPr="00DE2D54">
              <w:rPr>
                <w:rFonts w:ascii="Tahoma" w:hAnsi="Tahoma" w:cs="Tahoma"/>
                <w:b/>
                <w:bCs/>
              </w:rPr>
              <w:t>Wymagania minimalne</w:t>
            </w:r>
          </w:p>
        </w:tc>
      </w:tr>
      <w:tr w:rsidR="00DE2D54" w:rsidRPr="00DE2D54" w14:paraId="3883EC8A" w14:textId="77777777" w:rsidTr="00DE2D54">
        <w:tc>
          <w:tcPr>
            <w:tcW w:w="0" w:type="auto"/>
            <w:vAlign w:val="center"/>
            <w:hideMark/>
          </w:tcPr>
          <w:p w14:paraId="6F7CB27C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DD84446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Typ urządzenia</w:t>
            </w:r>
          </w:p>
        </w:tc>
        <w:tc>
          <w:tcPr>
            <w:tcW w:w="0" w:type="auto"/>
            <w:hideMark/>
          </w:tcPr>
          <w:p w14:paraId="0CBFE369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Bezprzewodowy punkt dostępowy Wi-Fi przeznaczony do pracy wewnątrz budynku, przystosowany do montażu sufitowego lub ściennego.</w:t>
            </w:r>
          </w:p>
        </w:tc>
      </w:tr>
      <w:tr w:rsidR="00DE2D54" w:rsidRPr="00DE2D54" w14:paraId="6CD005A8" w14:textId="77777777" w:rsidTr="00DE2D54">
        <w:tc>
          <w:tcPr>
            <w:tcW w:w="0" w:type="auto"/>
            <w:vAlign w:val="center"/>
            <w:hideMark/>
          </w:tcPr>
          <w:p w14:paraId="38164938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A03B013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Standard sieci bezprzewodowej</w:t>
            </w:r>
          </w:p>
        </w:tc>
        <w:tc>
          <w:tcPr>
            <w:tcW w:w="0" w:type="auto"/>
            <w:hideMark/>
          </w:tcPr>
          <w:p w14:paraId="0A86B4BA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Urządzenie musi obsługiwać co najmniej standard IEEE 802.11ax, z zachowaniem kompatybilności wstecznej z IEEE 802.11a/b/g/n/ac.</w:t>
            </w:r>
          </w:p>
        </w:tc>
      </w:tr>
      <w:tr w:rsidR="00DE2D54" w:rsidRPr="00DE2D54" w14:paraId="24CD4A57" w14:textId="77777777" w:rsidTr="00DE2D54">
        <w:tc>
          <w:tcPr>
            <w:tcW w:w="0" w:type="auto"/>
            <w:vAlign w:val="center"/>
            <w:hideMark/>
          </w:tcPr>
          <w:p w14:paraId="0375DFD1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C180A0C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Klasa wydajności Wi-Fi</w:t>
            </w:r>
          </w:p>
        </w:tc>
        <w:tc>
          <w:tcPr>
            <w:tcW w:w="0" w:type="auto"/>
            <w:hideMark/>
          </w:tcPr>
          <w:p w14:paraId="2146663F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Minimalna łączna nominalna przepustowość radiowa: co najmniej 3000 Mb/s.</w:t>
            </w:r>
          </w:p>
        </w:tc>
      </w:tr>
      <w:tr w:rsidR="00DE2D54" w:rsidRPr="00DE2D54" w14:paraId="364DEDA6" w14:textId="77777777" w:rsidTr="00DE2D54">
        <w:tc>
          <w:tcPr>
            <w:tcW w:w="0" w:type="auto"/>
            <w:vAlign w:val="center"/>
            <w:hideMark/>
          </w:tcPr>
          <w:p w14:paraId="72A9C212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75871DE7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Obsługiwane pasma</w:t>
            </w:r>
          </w:p>
        </w:tc>
        <w:tc>
          <w:tcPr>
            <w:tcW w:w="0" w:type="auto"/>
            <w:hideMark/>
          </w:tcPr>
          <w:p w14:paraId="5B932060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Jednoczesna praca w dwóch pasmach: 2,4 GHz oraz 5 GHz.</w:t>
            </w:r>
          </w:p>
        </w:tc>
      </w:tr>
      <w:tr w:rsidR="00DE2D54" w:rsidRPr="00DE2D54" w14:paraId="3E11427E" w14:textId="77777777" w:rsidTr="00DE2D54">
        <w:tc>
          <w:tcPr>
            <w:tcW w:w="0" w:type="auto"/>
            <w:vAlign w:val="center"/>
            <w:hideMark/>
          </w:tcPr>
          <w:p w14:paraId="66A2CCEC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E9C6EDA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Przepustowość w paśmie 2,4 GHz</w:t>
            </w:r>
          </w:p>
        </w:tc>
        <w:tc>
          <w:tcPr>
            <w:tcW w:w="0" w:type="auto"/>
            <w:hideMark/>
          </w:tcPr>
          <w:p w14:paraId="22555100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Co najmniej 574 Mb/s.</w:t>
            </w:r>
          </w:p>
        </w:tc>
      </w:tr>
      <w:tr w:rsidR="00DE2D54" w:rsidRPr="00DE2D54" w14:paraId="2DDED9D3" w14:textId="77777777" w:rsidTr="00DE2D54">
        <w:tc>
          <w:tcPr>
            <w:tcW w:w="0" w:type="auto"/>
            <w:vAlign w:val="center"/>
            <w:hideMark/>
          </w:tcPr>
          <w:p w14:paraId="3730BF47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6426E906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Przepustowość w paśmie 5 GHz</w:t>
            </w:r>
          </w:p>
        </w:tc>
        <w:tc>
          <w:tcPr>
            <w:tcW w:w="0" w:type="auto"/>
            <w:hideMark/>
          </w:tcPr>
          <w:p w14:paraId="43C66A0A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Co najmniej 2402 Mb/s.</w:t>
            </w:r>
          </w:p>
        </w:tc>
      </w:tr>
      <w:tr w:rsidR="00DE2D54" w:rsidRPr="00DE2D54" w14:paraId="3401C39D" w14:textId="77777777" w:rsidTr="00DE2D54">
        <w:tc>
          <w:tcPr>
            <w:tcW w:w="0" w:type="auto"/>
            <w:vAlign w:val="center"/>
            <w:hideMark/>
          </w:tcPr>
          <w:p w14:paraId="4B4EC44C" w14:textId="448C31D8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14:paraId="27CD8455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Liczba SSID</w:t>
            </w:r>
          </w:p>
        </w:tc>
        <w:tc>
          <w:tcPr>
            <w:tcW w:w="0" w:type="auto"/>
            <w:hideMark/>
          </w:tcPr>
          <w:p w14:paraId="125A79DD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Możliwość utworzenia co najmniej 16 identyfikatorów SSID łącznie, w tym co najmniej 8 SSID dla każdego pasma.</w:t>
            </w:r>
          </w:p>
        </w:tc>
      </w:tr>
      <w:tr w:rsidR="00DE2D54" w:rsidRPr="00DE2D54" w14:paraId="383CB38D" w14:textId="77777777" w:rsidTr="00DE2D54">
        <w:tc>
          <w:tcPr>
            <w:tcW w:w="0" w:type="auto"/>
            <w:vAlign w:val="center"/>
            <w:hideMark/>
          </w:tcPr>
          <w:p w14:paraId="42BA3DF2" w14:textId="130CAE41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7DE73391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Interfejs sieciowy LAN</w:t>
            </w:r>
          </w:p>
        </w:tc>
        <w:tc>
          <w:tcPr>
            <w:tcW w:w="0" w:type="auto"/>
            <w:hideMark/>
          </w:tcPr>
          <w:p w14:paraId="29B24CE5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Co najmniej 1 port Ethernet RJ45 10/100/1000 Mb/s.</w:t>
            </w:r>
          </w:p>
        </w:tc>
      </w:tr>
      <w:tr w:rsidR="00DE2D54" w:rsidRPr="00DE2D54" w14:paraId="67AC484A" w14:textId="77777777" w:rsidTr="00DE2D54">
        <w:tc>
          <w:tcPr>
            <w:tcW w:w="0" w:type="auto"/>
            <w:vAlign w:val="center"/>
            <w:hideMark/>
          </w:tcPr>
          <w:p w14:paraId="0BC0F135" w14:textId="68F7FF94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03F22E96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Zasilanie</w:t>
            </w:r>
          </w:p>
        </w:tc>
        <w:tc>
          <w:tcPr>
            <w:tcW w:w="0" w:type="auto"/>
            <w:hideMark/>
          </w:tcPr>
          <w:p w14:paraId="7CF1EA09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Zasilanie przez PoE zgodne co najmniej ze standardem IEEE 802.3at. Dopuszcza się dodatkowe tryby zasilania.</w:t>
            </w:r>
          </w:p>
        </w:tc>
      </w:tr>
      <w:tr w:rsidR="00DE2D54" w:rsidRPr="00DE2D54" w14:paraId="744E9C71" w14:textId="77777777" w:rsidTr="00DE2D54">
        <w:tc>
          <w:tcPr>
            <w:tcW w:w="0" w:type="auto"/>
            <w:vAlign w:val="center"/>
            <w:hideMark/>
          </w:tcPr>
          <w:p w14:paraId="70B56F57" w14:textId="71205D18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7B7D626D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Anteny</w:t>
            </w:r>
          </w:p>
        </w:tc>
        <w:tc>
          <w:tcPr>
            <w:tcW w:w="0" w:type="auto"/>
            <w:hideMark/>
          </w:tcPr>
          <w:p w14:paraId="1435F041" w14:textId="09381850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Anteny wbudowane, dookólne lub rozwiązanie równoważn</w:t>
            </w:r>
            <w:r>
              <w:rPr>
                <w:rFonts w:ascii="Tahoma" w:hAnsi="Tahoma" w:cs="Tahoma"/>
              </w:rPr>
              <w:t>e</w:t>
            </w:r>
            <w:r w:rsidRPr="00DE2D54">
              <w:rPr>
                <w:rFonts w:ascii="Tahoma" w:hAnsi="Tahoma" w:cs="Tahoma"/>
              </w:rPr>
              <w:t>.</w:t>
            </w:r>
          </w:p>
        </w:tc>
      </w:tr>
      <w:tr w:rsidR="00DE2D54" w:rsidRPr="00DE2D54" w14:paraId="72C1EA98" w14:textId="77777777" w:rsidTr="00DE2D54">
        <w:tc>
          <w:tcPr>
            <w:tcW w:w="0" w:type="auto"/>
            <w:vAlign w:val="center"/>
            <w:hideMark/>
          </w:tcPr>
          <w:p w14:paraId="06D4890D" w14:textId="7D4D1558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29A5DB7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Bezpieczeństwo uwierzytelniania</w:t>
            </w:r>
          </w:p>
        </w:tc>
        <w:tc>
          <w:tcPr>
            <w:tcW w:w="0" w:type="auto"/>
            <w:hideMark/>
          </w:tcPr>
          <w:p w14:paraId="1709EC7B" w14:textId="1FC9C58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Pr="00DE2D54">
              <w:rPr>
                <w:rFonts w:ascii="Tahoma" w:hAnsi="Tahoma" w:cs="Tahoma"/>
              </w:rPr>
              <w:t>bsługa IEEE 802.1X.</w:t>
            </w:r>
          </w:p>
        </w:tc>
      </w:tr>
      <w:tr w:rsidR="00DE2D54" w:rsidRPr="00DE2D54" w14:paraId="4EE8D46C" w14:textId="77777777" w:rsidTr="00DE2D54">
        <w:tc>
          <w:tcPr>
            <w:tcW w:w="0" w:type="auto"/>
            <w:vAlign w:val="center"/>
            <w:hideMark/>
          </w:tcPr>
          <w:p w14:paraId="1451C71A" w14:textId="4C66FA91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04FE9EB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Szyfrowanie sieci bezprzewodowej</w:t>
            </w:r>
          </w:p>
        </w:tc>
        <w:tc>
          <w:tcPr>
            <w:tcW w:w="0" w:type="auto"/>
            <w:hideMark/>
          </w:tcPr>
          <w:p w14:paraId="34CD9C10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Obsługa co najmniej WPA2-Enterprise oraz WPA3-Enterprise. Dopuszcza się obsługę dodatkowych trybów, w tym WPA/WPA2/WPA3 Personal.</w:t>
            </w:r>
          </w:p>
        </w:tc>
      </w:tr>
      <w:tr w:rsidR="00DE2D54" w:rsidRPr="00DE2D54" w14:paraId="2CE816A7" w14:textId="77777777" w:rsidTr="00DE2D54">
        <w:tc>
          <w:tcPr>
            <w:tcW w:w="0" w:type="auto"/>
            <w:vAlign w:val="center"/>
            <w:hideMark/>
          </w:tcPr>
          <w:p w14:paraId="552A1F6E" w14:textId="1FE9E096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C04A3E4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Integracja z serwerem uwierzytelniania</w:t>
            </w:r>
          </w:p>
        </w:tc>
        <w:tc>
          <w:tcPr>
            <w:tcW w:w="0" w:type="auto"/>
            <w:hideMark/>
          </w:tcPr>
          <w:p w14:paraId="69102F01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Możliwość pracy z zewnętrznym serwerem uwierzytelniania, w szczególności RADIUS, dla sieci zabezpieczonych 802.1X/WPA-Enterprise.</w:t>
            </w:r>
          </w:p>
        </w:tc>
      </w:tr>
      <w:tr w:rsidR="00DE2D54" w:rsidRPr="00DE2D54" w14:paraId="3AEC9B20" w14:textId="77777777" w:rsidTr="00DE2D54">
        <w:tc>
          <w:tcPr>
            <w:tcW w:w="0" w:type="auto"/>
            <w:vAlign w:val="center"/>
            <w:hideMark/>
          </w:tcPr>
          <w:p w14:paraId="5EB9BD9D" w14:textId="0CCCE50C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16AC0BAD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VLAN</w:t>
            </w:r>
          </w:p>
        </w:tc>
        <w:tc>
          <w:tcPr>
            <w:tcW w:w="0" w:type="auto"/>
            <w:hideMark/>
          </w:tcPr>
          <w:p w14:paraId="6148A4F1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Obsługa mapowania SSID do VLAN oraz obsługa zarządzania VLAN.</w:t>
            </w:r>
          </w:p>
        </w:tc>
      </w:tr>
      <w:tr w:rsidR="00DE2D54" w:rsidRPr="00DE2D54" w14:paraId="55F802D4" w14:textId="77777777" w:rsidTr="00DE2D54">
        <w:tc>
          <w:tcPr>
            <w:tcW w:w="0" w:type="auto"/>
            <w:vAlign w:val="center"/>
            <w:hideMark/>
          </w:tcPr>
          <w:p w14:paraId="2207F1D8" w14:textId="453E5C44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5D5AF6E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Izolacja klientów</w:t>
            </w:r>
          </w:p>
        </w:tc>
        <w:tc>
          <w:tcPr>
            <w:tcW w:w="0" w:type="auto"/>
            <w:hideMark/>
          </w:tcPr>
          <w:p w14:paraId="11B7DF23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Możliwość izolacji klientów połączonych z siecią bezprzewodową.</w:t>
            </w:r>
          </w:p>
        </w:tc>
      </w:tr>
      <w:tr w:rsidR="00DE2D54" w:rsidRPr="00DE2D54" w14:paraId="20634FDC" w14:textId="77777777" w:rsidTr="00DE2D54">
        <w:tc>
          <w:tcPr>
            <w:tcW w:w="0" w:type="auto"/>
            <w:vAlign w:val="center"/>
            <w:hideMark/>
          </w:tcPr>
          <w:p w14:paraId="269152F0" w14:textId="687CF413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lastRenderedPageBreak/>
              <w:t>1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0278573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Kontrola dostępu</w:t>
            </w:r>
          </w:p>
        </w:tc>
        <w:tc>
          <w:tcPr>
            <w:tcW w:w="0" w:type="auto"/>
            <w:hideMark/>
          </w:tcPr>
          <w:p w14:paraId="77375275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Obsługa kontroli dostępu, w tym filtrowania adresów MAC.</w:t>
            </w:r>
          </w:p>
        </w:tc>
      </w:tr>
      <w:tr w:rsidR="00DE2D54" w:rsidRPr="00DE2D54" w14:paraId="383DFFB9" w14:textId="77777777" w:rsidTr="00DE2D54">
        <w:tc>
          <w:tcPr>
            <w:tcW w:w="0" w:type="auto"/>
            <w:vAlign w:val="center"/>
            <w:hideMark/>
          </w:tcPr>
          <w:p w14:paraId="1CFB806B" w14:textId="614588CA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14:paraId="777A4602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Wykrywanie nieautoryzowanych punktów dostępowych</w:t>
            </w:r>
          </w:p>
        </w:tc>
        <w:tc>
          <w:tcPr>
            <w:tcW w:w="0" w:type="auto"/>
            <w:hideMark/>
          </w:tcPr>
          <w:p w14:paraId="28DCC353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Urządzenie musi umożliwiać wykrywanie nieautoryzowanych punktów dostępowych lub posiadać równoważną funkcję wspierającą identyfikację obcych AP w środowisku radiowym.</w:t>
            </w:r>
          </w:p>
        </w:tc>
      </w:tr>
      <w:tr w:rsidR="00DE2D54" w:rsidRPr="00DE2D54" w14:paraId="7A1DE83A" w14:textId="77777777" w:rsidTr="00DE2D54">
        <w:tc>
          <w:tcPr>
            <w:tcW w:w="0" w:type="auto"/>
            <w:vAlign w:val="center"/>
            <w:hideMark/>
          </w:tcPr>
          <w:p w14:paraId="3D883B5E" w14:textId="4CE4B644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14:paraId="2E5A52DA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QoS</w:t>
            </w:r>
          </w:p>
        </w:tc>
        <w:tc>
          <w:tcPr>
            <w:tcW w:w="0" w:type="auto"/>
            <w:hideMark/>
          </w:tcPr>
          <w:p w14:paraId="5A293688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Obsługa mechanizmów QoS dla transmisji bezprzewodowej, co najmniej WMM.</w:t>
            </w:r>
          </w:p>
        </w:tc>
      </w:tr>
      <w:tr w:rsidR="00DE2D54" w:rsidRPr="00DE2D54" w14:paraId="10C194EC" w14:textId="77777777" w:rsidTr="00DE2D54">
        <w:tc>
          <w:tcPr>
            <w:tcW w:w="0" w:type="auto"/>
            <w:vAlign w:val="center"/>
            <w:hideMark/>
          </w:tcPr>
          <w:p w14:paraId="14D73E07" w14:textId="570C172B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14:paraId="20733D08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Ograniczanie przepustowości</w:t>
            </w:r>
          </w:p>
        </w:tc>
        <w:tc>
          <w:tcPr>
            <w:tcW w:w="0" w:type="auto"/>
            <w:hideMark/>
          </w:tcPr>
          <w:p w14:paraId="7FF90F01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Możliwość ograniczania prędkości transmisji dla klientów, SSID lub grup użytkowników.</w:t>
            </w:r>
          </w:p>
        </w:tc>
      </w:tr>
      <w:tr w:rsidR="00DE2D54" w:rsidRPr="00DE2D54" w14:paraId="2E242C67" w14:textId="77777777" w:rsidTr="00DE2D54">
        <w:tc>
          <w:tcPr>
            <w:tcW w:w="0" w:type="auto"/>
            <w:vAlign w:val="center"/>
            <w:hideMark/>
          </w:tcPr>
          <w:p w14:paraId="6D7AE970" w14:textId="3C68724A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F5A6760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Harmonogram pracy sieci Wi-Fi</w:t>
            </w:r>
          </w:p>
        </w:tc>
        <w:tc>
          <w:tcPr>
            <w:tcW w:w="0" w:type="auto"/>
            <w:hideMark/>
          </w:tcPr>
          <w:p w14:paraId="6A3C80C0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Możliwość definiowania harmonogramu działania sieci bezprzewodowej.</w:t>
            </w:r>
          </w:p>
        </w:tc>
      </w:tr>
      <w:tr w:rsidR="00DE2D54" w:rsidRPr="00DE2D54" w14:paraId="2CCC004B" w14:textId="77777777" w:rsidTr="00DE2D54">
        <w:tc>
          <w:tcPr>
            <w:tcW w:w="0" w:type="auto"/>
            <w:vAlign w:val="center"/>
            <w:hideMark/>
          </w:tcPr>
          <w:p w14:paraId="4814DE92" w14:textId="193E960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63AB72DC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Zarządzanie lokalne</w:t>
            </w:r>
          </w:p>
        </w:tc>
        <w:tc>
          <w:tcPr>
            <w:tcW w:w="0" w:type="auto"/>
            <w:hideMark/>
          </w:tcPr>
          <w:p w14:paraId="43624A5F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Możliwość zarządzania urządzeniem przez interfejs WWW z użyciem HTTP/HTTPS.</w:t>
            </w:r>
          </w:p>
        </w:tc>
      </w:tr>
      <w:tr w:rsidR="00DE2D54" w:rsidRPr="00DE2D54" w14:paraId="2A9F734A" w14:textId="77777777" w:rsidTr="00DE2D54">
        <w:tc>
          <w:tcPr>
            <w:tcW w:w="0" w:type="auto"/>
            <w:vAlign w:val="center"/>
            <w:hideMark/>
          </w:tcPr>
          <w:p w14:paraId="293418A9" w14:textId="6C2023F5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4EA2D5F3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Zarządzanie zdalne</w:t>
            </w:r>
          </w:p>
        </w:tc>
        <w:tc>
          <w:tcPr>
            <w:tcW w:w="0" w:type="auto"/>
            <w:hideMark/>
          </w:tcPr>
          <w:p w14:paraId="57F69ADA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Obsługa SSH.</w:t>
            </w:r>
          </w:p>
        </w:tc>
      </w:tr>
      <w:tr w:rsidR="00DE2D54" w:rsidRPr="00DE2D54" w14:paraId="079F0BC0" w14:textId="77777777" w:rsidTr="00DE2D54">
        <w:tc>
          <w:tcPr>
            <w:tcW w:w="0" w:type="auto"/>
            <w:vAlign w:val="center"/>
            <w:hideMark/>
          </w:tcPr>
          <w:p w14:paraId="4216AC68" w14:textId="180AA851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AE0F967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SNMP</w:t>
            </w:r>
          </w:p>
        </w:tc>
        <w:tc>
          <w:tcPr>
            <w:tcW w:w="0" w:type="auto"/>
            <w:hideMark/>
          </w:tcPr>
          <w:p w14:paraId="23CCECA4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Obsługa SNMP co najmniej w wersjach v1, v2c oraz v3.</w:t>
            </w:r>
          </w:p>
        </w:tc>
      </w:tr>
      <w:tr w:rsidR="00DE2D54" w:rsidRPr="00DE2D54" w14:paraId="0D04E5CE" w14:textId="77777777" w:rsidTr="00DE2D54">
        <w:tc>
          <w:tcPr>
            <w:tcW w:w="0" w:type="auto"/>
            <w:vAlign w:val="center"/>
            <w:hideMark/>
          </w:tcPr>
          <w:p w14:paraId="7B9272C1" w14:textId="36717E22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14:paraId="3C49442F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Dzienniki systemowe</w:t>
            </w:r>
          </w:p>
        </w:tc>
        <w:tc>
          <w:tcPr>
            <w:tcW w:w="0" w:type="auto"/>
            <w:hideMark/>
          </w:tcPr>
          <w:p w14:paraId="61C99278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Obsługa dziennika systemowego lokalnego oraz zdalnego, w tym możliwość wysyłania logów do zewnętrznego serwera syslog.</w:t>
            </w:r>
          </w:p>
        </w:tc>
      </w:tr>
      <w:tr w:rsidR="00DE2D54" w:rsidRPr="00DE2D54" w14:paraId="77FBE3AE" w14:textId="77777777" w:rsidTr="00DE2D54">
        <w:tc>
          <w:tcPr>
            <w:tcW w:w="0" w:type="auto"/>
            <w:vAlign w:val="center"/>
            <w:hideMark/>
          </w:tcPr>
          <w:p w14:paraId="0FF0CC02" w14:textId="6BCE811B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25</w:t>
            </w:r>
          </w:p>
        </w:tc>
        <w:tc>
          <w:tcPr>
            <w:tcW w:w="0" w:type="auto"/>
            <w:vAlign w:val="center"/>
            <w:hideMark/>
          </w:tcPr>
          <w:p w14:paraId="23CF16BC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Zarządzanie centralne</w:t>
            </w:r>
          </w:p>
        </w:tc>
        <w:tc>
          <w:tcPr>
            <w:tcW w:w="0" w:type="auto"/>
            <w:hideMark/>
          </w:tcPr>
          <w:p w14:paraId="5AA7F200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Możliwość centralnego zarządzania wieloma punktami dostępowymi z poziomu kontrolera sprzętowego, programowego lub chmurowego. Nie dopuszcza się wymagania korzystania wyłącznie z jednego konkretnego, nazwowego systemu producenta.</w:t>
            </w:r>
          </w:p>
        </w:tc>
      </w:tr>
      <w:tr w:rsidR="00DE2D54" w:rsidRPr="00DE2D54" w14:paraId="5E56A7F0" w14:textId="77777777" w:rsidTr="00DE2D54">
        <w:tc>
          <w:tcPr>
            <w:tcW w:w="0" w:type="auto"/>
            <w:vAlign w:val="center"/>
            <w:hideMark/>
          </w:tcPr>
          <w:p w14:paraId="155A89D1" w14:textId="78AE0DF1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14:paraId="4D65D74A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Zarządzanie L3</w:t>
            </w:r>
          </w:p>
        </w:tc>
        <w:tc>
          <w:tcPr>
            <w:tcW w:w="0" w:type="auto"/>
            <w:hideMark/>
          </w:tcPr>
          <w:p w14:paraId="57010CD8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Obsługa zarządzania urządzeniem w warstwie L3.</w:t>
            </w:r>
          </w:p>
        </w:tc>
      </w:tr>
      <w:tr w:rsidR="00DE2D54" w:rsidRPr="00DE2D54" w14:paraId="5CAB96DF" w14:textId="77777777" w:rsidTr="00DE2D54">
        <w:tc>
          <w:tcPr>
            <w:tcW w:w="0" w:type="auto"/>
            <w:vAlign w:val="center"/>
            <w:hideMark/>
          </w:tcPr>
          <w:p w14:paraId="3D758A7D" w14:textId="4DE0EC1B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14:paraId="614EB141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Zarządzanie wieloma lokalizacjami</w:t>
            </w:r>
          </w:p>
        </w:tc>
        <w:tc>
          <w:tcPr>
            <w:tcW w:w="0" w:type="auto"/>
            <w:hideMark/>
          </w:tcPr>
          <w:p w14:paraId="22F2EE45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Możliwość zarządzania urządzeniami w wielu lokalizacjach lub funkcja równoważna.</w:t>
            </w:r>
          </w:p>
        </w:tc>
      </w:tr>
      <w:tr w:rsidR="00DE2D54" w:rsidRPr="00DE2D54" w14:paraId="4E0ECF23" w14:textId="77777777" w:rsidTr="00DE2D54">
        <w:tc>
          <w:tcPr>
            <w:tcW w:w="0" w:type="auto"/>
            <w:vAlign w:val="center"/>
            <w:hideMark/>
          </w:tcPr>
          <w:p w14:paraId="67E47D96" w14:textId="6E1CD0AD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14:paraId="43B2D396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Montaż</w:t>
            </w:r>
          </w:p>
        </w:tc>
        <w:tc>
          <w:tcPr>
            <w:tcW w:w="0" w:type="auto"/>
            <w:hideMark/>
          </w:tcPr>
          <w:p w14:paraId="3E6BF124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W komplecie musi znajdować się zestaw montażowy umożliwiający montaż ścienny lub sufitowy.</w:t>
            </w:r>
          </w:p>
        </w:tc>
      </w:tr>
      <w:tr w:rsidR="00DE2D54" w:rsidRPr="00DE2D54" w14:paraId="6658836B" w14:textId="77777777" w:rsidTr="00DE2D54">
        <w:tc>
          <w:tcPr>
            <w:tcW w:w="0" w:type="auto"/>
            <w:vAlign w:val="center"/>
            <w:hideMark/>
          </w:tcPr>
          <w:p w14:paraId="292D627C" w14:textId="7DCEEC1D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14:paraId="4D27F0AF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Warunki pracy</w:t>
            </w:r>
          </w:p>
        </w:tc>
        <w:tc>
          <w:tcPr>
            <w:tcW w:w="0" w:type="auto"/>
            <w:hideMark/>
          </w:tcPr>
          <w:p w14:paraId="104947EA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Zakres temperatury pracy co najmniej od 0°C do 40°C.</w:t>
            </w:r>
          </w:p>
        </w:tc>
      </w:tr>
      <w:tr w:rsidR="00DE2D54" w:rsidRPr="00DE2D54" w14:paraId="06C385DA" w14:textId="77777777" w:rsidTr="00DE2D54">
        <w:tc>
          <w:tcPr>
            <w:tcW w:w="0" w:type="auto"/>
            <w:vAlign w:val="center"/>
            <w:hideMark/>
          </w:tcPr>
          <w:p w14:paraId="20AFC6DE" w14:textId="2139BF6E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3</w:t>
            </w:r>
            <w:r>
              <w:rPr>
                <w:rFonts w:ascii="Tahoma" w:hAnsi="Tahoma" w:cs="Tahoma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26CF291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Certyfikaty i zgodność</w:t>
            </w:r>
          </w:p>
        </w:tc>
        <w:tc>
          <w:tcPr>
            <w:tcW w:w="0" w:type="auto"/>
            <w:hideMark/>
          </w:tcPr>
          <w:p w14:paraId="78A255D3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Urządzenie musi posiadać oznakowanie CE oraz spełniać wymagania RoHS lub równoważne wymagania dotyczące ograniczenia stosowania substancji niebezpiecznych.</w:t>
            </w:r>
          </w:p>
        </w:tc>
      </w:tr>
      <w:tr w:rsidR="00DE2D54" w:rsidRPr="00DE2D54" w14:paraId="54D06B36" w14:textId="77777777" w:rsidTr="00DE2D54">
        <w:tc>
          <w:tcPr>
            <w:tcW w:w="0" w:type="auto"/>
            <w:vAlign w:val="center"/>
            <w:hideMark/>
          </w:tcPr>
          <w:p w14:paraId="15F2BBF6" w14:textId="1FA8D886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14:paraId="1C2195F3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Dokumentacja</w:t>
            </w:r>
          </w:p>
        </w:tc>
        <w:tc>
          <w:tcPr>
            <w:tcW w:w="0" w:type="auto"/>
            <w:hideMark/>
          </w:tcPr>
          <w:p w14:paraId="4F824CFD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Wykonawca wraz z ofertą lub na wezwanie Zamawiającego przedłoży kartę katalogową, specyfikację techniczną producenta lub inny równoważny dokument potwierdzający spełnienie wymagań minimalnych.</w:t>
            </w:r>
          </w:p>
        </w:tc>
      </w:tr>
      <w:tr w:rsidR="00DE2D54" w:rsidRPr="00DE2D54" w14:paraId="031971E8" w14:textId="77777777" w:rsidTr="00DE2D54">
        <w:tc>
          <w:tcPr>
            <w:tcW w:w="0" w:type="auto"/>
            <w:vAlign w:val="center"/>
            <w:hideMark/>
          </w:tcPr>
          <w:p w14:paraId="5AADE6A2" w14:textId="1CAFB7C1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14:paraId="5C75C3E5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Oprogramowanie układowe</w:t>
            </w:r>
          </w:p>
        </w:tc>
        <w:tc>
          <w:tcPr>
            <w:tcW w:w="0" w:type="auto"/>
            <w:hideMark/>
          </w:tcPr>
          <w:p w14:paraId="2CE90960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Urządzenie musi umożliwiać aktualizację oprogramowania układowego/firmware.</w:t>
            </w:r>
          </w:p>
        </w:tc>
      </w:tr>
      <w:tr w:rsidR="00DE2D54" w:rsidRPr="00DE2D54" w14:paraId="32989D8E" w14:textId="77777777" w:rsidTr="00DE2D54">
        <w:tc>
          <w:tcPr>
            <w:tcW w:w="0" w:type="auto"/>
            <w:vAlign w:val="center"/>
            <w:hideMark/>
          </w:tcPr>
          <w:p w14:paraId="02339672" w14:textId="7051C5A5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14:paraId="101F39A2" w14:textId="77777777" w:rsidR="00DE2D54" w:rsidRPr="00DE2D54" w:rsidRDefault="00DE2D54" w:rsidP="00DE2D54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Gwarancja</w:t>
            </w:r>
          </w:p>
        </w:tc>
        <w:tc>
          <w:tcPr>
            <w:tcW w:w="0" w:type="auto"/>
            <w:hideMark/>
          </w:tcPr>
          <w:p w14:paraId="18F2B864" w14:textId="77777777" w:rsidR="00DE2D54" w:rsidRPr="00DE2D54" w:rsidRDefault="00DE2D54" w:rsidP="00DE2D54">
            <w:pPr>
              <w:spacing w:line="276" w:lineRule="auto"/>
              <w:rPr>
                <w:rFonts w:ascii="Tahoma" w:hAnsi="Tahoma" w:cs="Tahoma"/>
              </w:rPr>
            </w:pPr>
            <w:r w:rsidRPr="00DE2D54">
              <w:rPr>
                <w:rFonts w:ascii="Tahoma" w:hAnsi="Tahoma" w:cs="Tahoma"/>
              </w:rPr>
              <w:t>Minimalny okres gwarancji: 24 miesiące od dnia odbioru urządzenia przez Zamawiającego.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0FECD" w14:textId="77777777" w:rsidR="00FE44BB" w:rsidRDefault="00FE44BB">
      <w:r>
        <w:separator/>
      </w:r>
    </w:p>
  </w:endnote>
  <w:endnote w:type="continuationSeparator" w:id="0">
    <w:p w14:paraId="6A7B947F" w14:textId="77777777" w:rsidR="00FE44BB" w:rsidRDefault="00FE4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90BAB" w14:textId="77777777" w:rsidR="00FE44BB" w:rsidRDefault="00FE44BB">
      <w:r>
        <w:separator/>
      </w:r>
    </w:p>
  </w:footnote>
  <w:footnote w:type="continuationSeparator" w:id="0">
    <w:p w14:paraId="5135E5BB" w14:textId="77777777" w:rsidR="00FE44BB" w:rsidRDefault="00FE4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0E45A5"/>
    <w:rsid w:val="0010162A"/>
    <w:rsid w:val="001561C5"/>
    <w:rsid w:val="00200170"/>
    <w:rsid w:val="00214307"/>
    <w:rsid w:val="0022567D"/>
    <w:rsid w:val="002571F6"/>
    <w:rsid w:val="002A7C7C"/>
    <w:rsid w:val="002B08FC"/>
    <w:rsid w:val="002B40F4"/>
    <w:rsid w:val="002D66BB"/>
    <w:rsid w:val="002E6BDD"/>
    <w:rsid w:val="002F66E8"/>
    <w:rsid w:val="00310274"/>
    <w:rsid w:val="003134FE"/>
    <w:rsid w:val="003165EB"/>
    <w:rsid w:val="0032350E"/>
    <w:rsid w:val="003708D5"/>
    <w:rsid w:val="003816DA"/>
    <w:rsid w:val="00385FFB"/>
    <w:rsid w:val="00401008"/>
    <w:rsid w:val="00412555"/>
    <w:rsid w:val="0042606F"/>
    <w:rsid w:val="00482EA3"/>
    <w:rsid w:val="004844AD"/>
    <w:rsid w:val="004A0881"/>
    <w:rsid w:val="004E62F6"/>
    <w:rsid w:val="005115C2"/>
    <w:rsid w:val="005A056A"/>
    <w:rsid w:val="005B7917"/>
    <w:rsid w:val="005E22E2"/>
    <w:rsid w:val="006048A6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2184"/>
    <w:rsid w:val="0088784C"/>
    <w:rsid w:val="008B2E44"/>
    <w:rsid w:val="008C4DE6"/>
    <w:rsid w:val="008D7C6A"/>
    <w:rsid w:val="00924460"/>
    <w:rsid w:val="00976A92"/>
    <w:rsid w:val="009823C9"/>
    <w:rsid w:val="009A5797"/>
    <w:rsid w:val="009B56F9"/>
    <w:rsid w:val="009B7B29"/>
    <w:rsid w:val="009D0681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2C1C"/>
    <w:rsid w:val="00B066B2"/>
    <w:rsid w:val="00B371AE"/>
    <w:rsid w:val="00B37C91"/>
    <w:rsid w:val="00B41823"/>
    <w:rsid w:val="00B50E9F"/>
    <w:rsid w:val="00B546E9"/>
    <w:rsid w:val="00B615FE"/>
    <w:rsid w:val="00B619ED"/>
    <w:rsid w:val="00B82EF6"/>
    <w:rsid w:val="00BC79CC"/>
    <w:rsid w:val="00BF6D5D"/>
    <w:rsid w:val="00C02975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7700C"/>
    <w:rsid w:val="00C965EE"/>
    <w:rsid w:val="00CA4211"/>
    <w:rsid w:val="00CA518A"/>
    <w:rsid w:val="00CB53C1"/>
    <w:rsid w:val="00CC431D"/>
    <w:rsid w:val="00CF141D"/>
    <w:rsid w:val="00CF1AB9"/>
    <w:rsid w:val="00D93CCF"/>
    <w:rsid w:val="00DC0C56"/>
    <w:rsid w:val="00DD59C4"/>
    <w:rsid w:val="00DE2D54"/>
    <w:rsid w:val="00E1663C"/>
    <w:rsid w:val="00E70B77"/>
    <w:rsid w:val="00E81AAD"/>
    <w:rsid w:val="00E82DDD"/>
    <w:rsid w:val="00EA5546"/>
    <w:rsid w:val="00EB7791"/>
    <w:rsid w:val="00EE312E"/>
    <w:rsid w:val="00F34186"/>
    <w:rsid w:val="00F6134F"/>
    <w:rsid w:val="00F738C3"/>
    <w:rsid w:val="00F753C2"/>
    <w:rsid w:val="00F8620F"/>
    <w:rsid w:val="00FE3AD8"/>
    <w:rsid w:val="00FE44BB"/>
    <w:rsid w:val="00FF5508"/>
    <w:rsid w:val="0301DB22"/>
    <w:rsid w:val="19237D66"/>
    <w:rsid w:val="28F1233D"/>
    <w:rsid w:val="29A4A61E"/>
    <w:rsid w:val="2B863568"/>
    <w:rsid w:val="32256342"/>
    <w:rsid w:val="3966DE34"/>
    <w:rsid w:val="40E86C8B"/>
    <w:rsid w:val="477A6727"/>
    <w:rsid w:val="530DF878"/>
    <w:rsid w:val="65269C6D"/>
    <w:rsid w:val="65F1FD2E"/>
    <w:rsid w:val="6D366937"/>
    <w:rsid w:val="72787B15"/>
    <w:rsid w:val="74FB12F3"/>
    <w:rsid w:val="7CD3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605</Words>
  <Characters>3196</Characters>
  <Application>Microsoft Office Word</Application>
  <DocSecurity>0</DocSecurity>
  <Lines>319</Lines>
  <Paragraphs>253</Paragraphs>
  <ScaleCrop>false</ScaleCrop>
  <Company>MRR</Company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12</cp:revision>
  <cp:lastPrinted>2018-03-26T09:55:00Z</cp:lastPrinted>
  <dcterms:created xsi:type="dcterms:W3CDTF">2026-03-27T10:28:00Z</dcterms:created>
  <dcterms:modified xsi:type="dcterms:W3CDTF">2026-07-05T18:06:00Z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